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Default="009A280F" w:rsidP="009A280F">
      <w:pPr>
        <w:tabs>
          <w:tab w:val="left" w:pos="5103"/>
        </w:tabs>
      </w:pPr>
      <w:r>
        <w:tab/>
        <w:t>Załącznik Nr 2</w:t>
      </w:r>
    </w:p>
    <w:p w:rsidR="009A280F" w:rsidRDefault="0026655F" w:rsidP="009A280F">
      <w:pPr>
        <w:tabs>
          <w:tab w:val="left" w:pos="5103"/>
        </w:tabs>
      </w:pPr>
      <w:r>
        <w:tab/>
        <w:t>do uchwały Nr III/13/10</w:t>
      </w:r>
    </w:p>
    <w:p w:rsidR="009A280F" w:rsidRDefault="001A334B" w:rsidP="009A280F">
      <w:pPr>
        <w:tabs>
          <w:tab w:val="left" w:pos="5103"/>
        </w:tabs>
      </w:pPr>
      <w:r>
        <w:tab/>
        <w:t>Rady Gminy</w:t>
      </w:r>
    </w:p>
    <w:p w:rsidR="009A280F" w:rsidRDefault="009A280F" w:rsidP="009A280F">
      <w:pPr>
        <w:tabs>
          <w:tab w:val="left" w:pos="5103"/>
        </w:tabs>
      </w:pPr>
      <w:r>
        <w:tab/>
        <w:t xml:space="preserve">w </w:t>
      </w:r>
      <w:r w:rsidR="001A334B">
        <w:t>Dolicach</w:t>
      </w:r>
    </w:p>
    <w:p w:rsidR="009A280F" w:rsidRDefault="009A280F" w:rsidP="009A280F">
      <w:pPr>
        <w:tabs>
          <w:tab w:val="left" w:pos="5103"/>
        </w:tabs>
      </w:pPr>
    </w:p>
    <w:p w:rsidR="009A280F" w:rsidRDefault="009A280F" w:rsidP="009A280F">
      <w:pPr>
        <w:tabs>
          <w:tab w:val="left" w:pos="5103"/>
        </w:tabs>
      </w:pPr>
    </w:p>
    <w:p w:rsidR="009A280F" w:rsidRPr="009A280F" w:rsidRDefault="009A280F" w:rsidP="009A280F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1A334B" w:rsidP="009A280F">
      <w:pPr>
        <w:tabs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>Gminy Dolice</w:t>
      </w:r>
    </w:p>
    <w:p w:rsidR="009A280F" w:rsidRPr="009A280F" w:rsidRDefault="009A280F" w:rsidP="009A280F">
      <w:pPr>
        <w:tabs>
          <w:tab w:val="left" w:pos="5103"/>
        </w:tabs>
        <w:ind w:firstLine="0"/>
        <w:jc w:val="center"/>
        <w:rPr>
          <w:b/>
          <w:sz w:val="30"/>
        </w:rPr>
      </w:pPr>
      <w:r w:rsidRPr="009A280F">
        <w:rPr>
          <w:b/>
          <w:sz w:val="30"/>
        </w:rPr>
        <w:t>na</w:t>
      </w:r>
      <w:r w:rsidR="00E841E2">
        <w:rPr>
          <w:b/>
          <w:sz w:val="30"/>
        </w:rPr>
        <w:t xml:space="preserve"> lata 2011 - 2023</w:t>
      </w:r>
    </w:p>
    <w:p w:rsidR="009A280F" w:rsidRDefault="009A280F" w:rsidP="009A280F"/>
    <w:p w:rsidR="00C07451" w:rsidRDefault="00C07451" w:rsidP="009A280F"/>
    <w:p w:rsidR="0068057D" w:rsidRDefault="0068057D" w:rsidP="009A280F">
      <w:pPr>
        <w:rPr>
          <w:i/>
        </w:rPr>
      </w:pPr>
    </w:p>
    <w:p w:rsidR="009A280F" w:rsidRPr="008A1BF1" w:rsidRDefault="00E841E2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dochodów  lat 2011-2023 wykazanych w poz. 1;2</w:t>
      </w:r>
    </w:p>
    <w:p w:rsidR="00C07451" w:rsidRDefault="00C07451" w:rsidP="00C07451">
      <w:pPr>
        <w:pStyle w:val="Akapitzlist"/>
        <w:spacing w:before="240"/>
        <w:ind w:left="709"/>
        <w:contextualSpacing w:val="0"/>
      </w:pPr>
      <w:r>
        <w:t>Objaśnienia:</w:t>
      </w:r>
    </w:p>
    <w:p w:rsidR="00C07451" w:rsidRDefault="00E841E2" w:rsidP="00C07451">
      <w:pPr>
        <w:pStyle w:val="Akapitzlist"/>
        <w:ind w:left="709"/>
        <w:contextualSpacing w:val="0"/>
      </w:pPr>
      <w:r>
        <w:t>W roku 2011 przyjęto dochody na podstawie danych wynikających z przyznanych subwencji, dotacji, wyszacowanych dochodów własnych na po</w:t>
      </w:r>
      <w:r>
        <w:t>d</w:t>
      </w:r>
      <w:r>
        <w:t>stawie przyjętych u</w:t>
      </w:r>
      <w:r w:rsidR="007F17A6">
        <w:t>chwał podatkowych oraz szacunko</w:t>
      </w:r>
      <w:r>
        <w:t>wego wyliczenia doch</w:t>
      </w:r>
      <w:r>
        <w:t>o</w:t>
      </w:r>
      <w:r>
        <w:t>dów uzyskanych z świadczonych usług. W</w:t>
      </w:r>
      <w:r w:rsidR="009B0109">
        <w:t xml:space="preserve"> roku 2012 przyję</w:t>
      </w:r>
      <w:r w:rsidR="007F17A6">
        <w:t>to zwiększony wpływ dochodów majątkowych wynikających z prowadzonych zadań inwest</w:t>
      </w:r>
      <w:r w:rsidR="007F17A6">
        <w:t>y</w:t>
      </w:r>
      <w:r w:rsidR="007F17A6">
        <w:t>cyjnych z udziałem środków z Unii Europejskiej a po zakończeniu i zatwie</w:t>
      </w:r>
      <w:r w:rsidR="007F17A6">
        <w:t>r</w:t>
      </w:r>
      <w:r w:rsidR="007F17A6">
        <w:t>dzeniu Gmina uzyska środki na inwestycje. W</w:t>
      </w:r>
      <w:r>
        <w:t xml:space="preserve"> la</w:t>
      </w:r>
      <w:r w:rsidR="007F17A6">
        <w:t>tach 2013</w:t>
      </w:r>
      <w:r>
        <w:t>-2023 dochody podwyższone zostały o wskaźniki minimalne tj. od 0,56% do 0,71%</w:t>
      </w:r>
      <w:r w:rsidR="009B0109">
        <w:t>.Ponadto w roku 2014 ujęto przewidywany wpływ ze sprzedaży majątku-części sieci g</w:t>
      </w:r>
      <w:r w:rsidR="009B0109">
        <w:t>a</w:t>
      </w:r>
      <w:r w:rsidR="009B0109">
        <w:t>zowej stanowiącej własność Gminy.</w:t>
      </w:r>
    </w:p>
    <w:p w:rsidR="00C07451" w:rsidRPr="008A1BF1" w:rsidRDefault="00C07451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 xml:space="preserve">Dotyczy wydatków  roku </w:t>
      </w:r>
      <w:r w:rsidR="00E841E2" w:rsidRPr="008A1BF1">
        <w:rPr>
          <w:b/>
        </w:rPr>
        <w:t xml:space="preserve">lat 2011-2023 wykazanych w poz. </w:t>
      </w:r>
      <w:r w:rsidR="007F17A6">
        <w:rPr>
          <w:b/>
        </w:rPr>
        <w:t>2:20</w:t>
      </w:r>
    </w:p>
    <w:p w:rsidR="00C07451" w:rsidRDefault="00C07451" w:rsidP="00C07451">
      <w:pPr>
        <w:pStyle w:val="Akapitzlist"/>
        <w:spacing w:before="240"/>
        <w:ind w:left="709"/>
        <w:contextualSpacing w:val="0"/>
      </w:pPr>
      <w:r>
        <w:t>Objaśnienia:</w:t>
      </w:r>
    </w:p>
    <w:p w:rsidR="00C07451" w:rsidRDefault="007B7BA0" w:rsidP="00C07451">
      <w:pPr>
        <w:pStyle w:val="Akapitzlist"/>
        <w:ind w:left="709"/>
        <w:contextualSpacing w:val="0"/>
      </w:pPr>
      <w:r>
        <w:t>Przyjęto plan wydatków w 2011 roku w oparciu o wykonane i planow</w:t>
      </w:r>
      <w:r>
        <w:t>a</w:t>
      </w:r>
      <w:r>
        <w:t>ne wydatki w roku 2010. W latach 2012-2023  wzrost wydatków zaplanowano podobnie jak dochody wskaźnikiem minimalnym tj. od</w:t>
      </w:r>
      <w:r w:rsidR="007F17A6">
        <w:t xml:space="preserve"> </w:t>
      </w:r>
      <w:r>
        <w:t>0,29% do 1,72%</w:t>
      </w:r>
    </w:p>
    <w:p w:rsidR="0068057D" w:rsidRPr="008A1BF1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 xml:space="preserve">Dotyczy wyniku (ów) budżetu  roku </w:t>
      </w:r>
      <w:r w:rsidR="007B7BA0" w:rsidRPr="008A1BF1">
        <w:rPr>
          <w:b/>
        </w:rPr>
        <w:t>2011 (lat 2012-2023) wykazanych w poz. 12</w:t>
      </w:r>
      <w:r w:rsidRPr="008A1BF1">
        <w:rPr>
          <w:b/>
        </w:rPr>
        <w:t>:</w:t>
      </w:r>
      <w:r w:rsidR="007B7BA0" w:rsidRPr="008A1BF1">
        <w:rPr>
          <w:b/>
        </w:rPr>
        <w:t>21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68057D" w:rsidRDefault="007B7BA0" w:rsidP="0068057D">
      <w:pPr>
        <w:pStyle w:val="Akapitzlist"/>
        <w:ind w:left="709"/>
        <w:contextualSpacing w:val="0"/>
      </w:pPr>
      <w:r>
        <w:t xml:space="preserve">Wynik finansowy w poz. 12 przedstawia różnicę między dochodami a wydatkami z uwzględnieniem </w:t>
      </w:r>
      <w:proofErr w:type="spellStart"/>
      <w:r>
        <w:t>żródła</w:t>
      </w:r>
      <w:proofErr w:type="spellEnd"/>
      <w:r>
        <w:t xml:space="preserve"> finansowania natomiast poz. 21 określa różnicę dochodów ogółem oraz wydatków ogółem co stanowi deficyt budż</w:t>
      </w:r>
      <w:r>
        <w:t>e</w:t>
      </w:r>
      <w:r>
        <w:t>towy roku 2011 oraz lat następnych.</w:t>
      </w:r>
      <w:r w:rsidR="0068057D">
        <w:t xml:space="preserve"> </w:t>
      </w:r>
    </w:p>
    <w:p w:rsidR="0068057D" w:rsidRPr="008A1BF1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lastRenderedPageBreak/>
        <w:t>Dotyczy przeznacze</w:t>
      </w:r>
      <w:r w:rsidR="007B7BA0" w:rsidRPr="008A1BF1">
        <w:rPr>
          <w:b/>
        </w:rPr>
        <w:t>nia nadwyżki budżetu  roku  2011 (lat 2014,2015 oraz 2018-2023</w:t>
      </w:r>
      <w:r w:rsidRPr="008A1BF1">
        <w:rPr>
          <w:b/>
        </w:rPr>
        <w:t>) wykaza</w:t>
      </w:r>
      <w:r w:rsidR="007B7BA0" w:rsidRPr="008A1BF1">
        <w:rPr>
          <w:b/>
        </w:rPr>
        <w:t>nych w poz. 4</w:t>
      </w:r>
      <w:r w:rsidRPr="008A1BF1">
        <w:rPr>
          <w:b/>
        </w:rPr>
        <w:t>:</w:t>
      </w:r>
    </w:p>
    <w:p w:rsidR="007F17A6" w:rsidRDefault="007F17A6" w:rsidP="0068057D">
      <w:pPr>
        <w:pStyle w:val="Akapitzlist"/>
        <w:spacing w:before="240"/>
        <w:ind w:left="709"/>
        <w:contextualSpacing w:val="0"/>
        <w:rPr>
          <w:b/>
        </w:rPr>
      </w:pPr>
    </w:p>
    <w:p w:rsidR="0068057D" w:rsidRPr="008A1BF1" w:rsidRDefault="0068057D" w:rsidP="0068057D">
      <w:pPr>
        <w:pStyle w:val="Akapitzlist"/>
        <w:spacing w:before="240"/>
        <w:ind w:left="709"/>
        <w:contextualSpacing w:val="0"/>
        <w:rPr>
          <w:b/>
        </w:rPr>
      </w:pPr>
      <w:r w:rsidRPr="008A1BF1">
        <w:rPr>
          <w:b/>
        </w:rPr>
        <w:t>Objaśnienia:</w:t>
      </w:r>
    </w:p>
    <w:p w:rsidR="0068057D" w:rsidRDefault="00111523" w:rsidP="0068057D">
      <w:pPr>
        <w:pStyle w:val="Akapitzlist"/>
        <w:ind w:left="709"/>
        <w:contextualSpacing w:val="0"/>
      </w:pPr>
      <w:r>
        <w:t>Nadwyżka budżetowa z lat poprzednich została w całości przeznaczona na wydatki inwestycyjne oraz spłatę rat kredytów wcześniej zaciągniętych</w:t>
      </w:r>
    </w:p>
    <w:p w:rsidR="0068057D" w:rsidRPr="008A1BF1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sposobu sfinansow</w:t>
      </w:r>
      <w:r w:rsidR="00111523" w:rsidRPr="008A1BF1">
        <w:rPr>
          <w:b/>
        </w:rPr>
        <w:t>ania deficytu budżetu roku  2011 -2012) w</w:t>
      </w:r>
      <w:r w:rsidR="00111523" w:rsidRPr="008A1BF1">
        <w:rPr>
          <w:b/>
        </w:rPr>
        <w:t>y</w:t>
      </w:r>
      <w:r w:rsidR="00111523" w:rsidRPr="008A1BF1">
        <w:rPr>
          <w:b/>
        </w:rPr>
        <w:t>kazanych w poz. 21</w:t>
      </w:r>
      <w:r w:rsidRPr="008A1BF1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68057D" w:rsidRDefault="00111523" w:rsidP="0068057D">
      <w:pPr>
        <w:pStyle w:val="Akapitzlist"/>
        <w:ind w:left="709"/>
        <w:contextualSpacing w:val="0"/>
      </w:pPr>
      <w:r>
        <w:t>Deficyt budżetow</w:t>
      </w:r>
      <w:r w:rsidR="007F17A6">
        <w:t>y zostanie sfinansowany nadwyżką</w:t>
      </w:r>
      <w:r>
        <w:t xml:space="preserve"> z lat ubiegłych, oraz emisji obligacji w roku 2011 natomiast w roku 2012 z zaciągniętej p</w:t>
      </w:r>
      <w:r>
        <w:t>o</w:t>
      </w:r>
      <w:r>
        <w:t>życzki na inwestycje z udziałem środków z Unii Europejskiej co zostanie spł</w:t>
      </w:r>
      <w:r>
        <w:t>a</w:t>
      </w:r>
      <w:r>
        <w:t>cone w roku 2012.</w:t>
      </w:r>
    </w:p>
    <w:p w:rsidR="00CF2C69" w:rsidRPr="008A1BF1" w:rsidRDefault="00111523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przychodów  roku 2011</w:t>
      </w:r>
      <w:r w:rsidR="00CF2C69" w:rsidRPr="008A1BF1">
        <w:rPr>
          <w:b/>
        </w:rPr>
        <w:t xml:space="preserve"> </w:t>
      </w:r>
      <w:r w:rsidRPr="008A1BF1">
        <w:rPr>
          <w:b/>
        </w:rPr>
        <w:t>wykazanych w poz. 22</w:t>
      </w:r>
      <w:r w:rsidR="00CF2C69" w:rsidRPr="008A1BF1">
        <w:rPr>
          <w:b/>
        </w:rPr>
        <w:t>:</w:t>
      </w:r>
    </w:p>
    <w:p w:rsidR="00CF2C69" w:rsidRDefault="00CF2C69" w:rsidP="00CF2C69">
      <w:pPr>
        <w:pStyle w:val="Akapitzlist"/>
        <w:spacing w:before="240"/>
        <w:ind w:left="709"/>
        <w:contextualSpacing w:val="0"/>
      </w:pPr>
      <w:r>
        <w:t>Objaśnienia:</w:t>
      </w:r>
    </w:p>
    <w:p w:rsidR="00CF2C69" w:rsidRDefault="00111523" w:rsidP="00CF2C69">
      <w:pPr>
        <w:pStyle w:val="Akapitzlist"/>
        <w:ind w:left="709"/>
        <w:contextualSpacing w:val="0"/>
      </w:pPr>
      <w:r>
        <w:t>Przychody roku 2011 pochodzą z nadwyżki budżetowej z lat ubiegłych , wolnych środków</w:t>
      </w:r>
      <w:r w:rsidR="008249A8">
        <w:t xml:space="preserve">, pożyczki na współfinansowanie zadania ze środków UE </w:t>
      </w:r>
      <w:r>
        <w:t xml:space="preserve">  oraz emisji obligacji, której przeznaczenie zostało opisane w punkcie4 i 5.</w:t>
      </w:r>
    </w:p>
    <w:p w:rsidR="0068057D" w:rsidRPr="008A1BF1" w:rsidRDefault="00111523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rozchodów  roku 2011 (lat 2012-2023) wykazanych w poz. 23</w:t>
      </w:r>
      <w:r w:rsidR="0068057D" w:rsidRPr="008A1BF1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68057D" w:rsidRDefault="00111523" w:rsidP="0068057D">
      <w:pPr>
        <w:pStyle w:val="Akapitzlist"/>
        <w:ind w:left="709"/>
        <w:contextualSpacing w:val="0"/>
      </w:pPr>
      <w:r>
        <w:t>W poszczególnych latach przyjęto wielkość rozchodów na podstawie harmonogramów spłat pożyczek(WFOŚ i GW Szczecin)oraz wykupu papierów wartościowych (tj. obligacji) na podstawie zawartych umów.</w:t>
      </w:r>
      <w:r w:rsidR="007F17A6">
        <w:t xml:space="preserve"> W rozchodach ujęto kwotę 50.000 zł z przeznaczeniem na udzielanie pożyczek stowarzysz</w:t>
      </w:r>
      <w:r w:rsidR="007F17A6">
        <w:t>e</w:t>
      </w:r>
      <w:r w:rsidR="007F17A6">
        <w:t>niom prowadzący</w:t>
      </w:r>
      <w:r w:rsidR="009B0109">
        <w:t>ch swą</w:t>
      </w:r>
      <w:r w:rsidR="008249A8">
        <w:t xml:space="preserve"> działalność non profit wykonujące </w:t>
      </w:r>
      <w:r w:rsidR="007F17A6">
        <w:t xml:space="preserve"> zadania własne Gminy.</w:t>
      </w:r>
    </w:p>
    <w:p w:rsidR="0068057D" w:rsidRDefault="0068057D" w:rsidP="00CF2C69">
      <w:pPr>
        <w:pStyle w:val="Akapitzlist"/>
        <w:ind w:left="709"/>
        <w:contextualSpacing w:val="0"/>
      </w:pPr>
    </w:p>
    <w:p w:rsidR="0068057D" w:rsidRPr="008A1BF1" w:rsidRDefault="0068057D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długu publicznego na koniec</w:t>
      </w:r>
      <w:r w:rsidR="00111523" w:rsidRPr="008A1BF1">
        <w:rPr>
          <w:b/>
        </w:rPr>
        <w:t xml:space="preserve"> roku  2011 (lat 2012-2023</w:t>
      </w:r>
      <w:r w:rsidRPr="008A1BF1">
        <w:rPr>
          <w:b/>
        </w:rPr>
        <w:t>) wyk</w:t>
      </w:r>
      <w:r w:rsidRPr="008A1BF1">
        <w:rPr>
          <w:b/>
        </w:rPr>
        <w:t>a</w:t>
      </w:r>
      <w:r w:rsidRPr="008A1BF1">
        <w:rPr>
          <w:b/>
        </w:rPr>
        <w:t>za</w:t>
      </w:r>
      <w:r w:rsidR="002D2348" w:rsidRPr="008A1BF1">
        <w:rPr>
          <w:b/>
        </w:rPr>
        <w:t>nych w poz. 13</w:t>
      </w:r>
      <w:r w:rsidRPr="008A1BF1">
        <w:rPr>
          <w:b/>
        </w:rPr>
        <w:t>:</w:t>
      </w:r>
    </w:p>
    <w:p w:rsidR="0068057D" w:rsidRDefault="0068057D" w:rsidP="0068057D">
      <w:pPr>
        <w:pStyle w:val="Akapitzlist"/>
        <w:spacing w:before="240"/>
        <w:ind w:left="709"/>
        <w:contextualSpacing w:val="0"/>
      </w:pPr>
      <w:r>
        <w:t>Objaśnienia:</w:t>
      </w:r>
    </w:p>
    <w:p w:rsidR="0068057D" w:rsidRDefault="001F4A4B" w:rsidP="0068057D">
      <w:pPr>
        <w:pStyle w:val="Akapitzlist"/>
        <w:ind w:left="709"/>
        <w:contextualSpacing w:val="0"/>
      </w:pPr>
      <w:r>
        <w:t>W roku 2011 przyję</w:t>
      </w:r>
      <w:r w:rsidR="002D2348">
        <w:t>to kwotę 6.193.301 zł jako wielkość z roku 2010 tj.</w:t>
      </w:r>
    </w:p>
    <w:p w:rsidR="002D2348" w:rsidRDefault="002D2348" w:rsidP="0068057D">
      <w:pPr>
        <w:pStyle w:val="Akapitzlist"/>
        <w:ind w:left="709"/>
        <w:contextualSpacing w:val="0"/>
      </w:pPr>
      <w:r>
        <w:t>1-pożyczka w WFOŚ i GW  umowa 23.06.2004 do spłaty 372.800 zł</w:t>
      </w:r>
    </w:p>
    <w:p w:rsidR="002D2348" w:rsidRDefault="002D2348" w:rsidP="0068057D">
      <w:pPr>
        <w:pStyle w:val="Akapitzlist"/>
        <w:ind w:left="709"/>
        <w:contextualSpacing w:val="0"/>
      </w:pPr>
      <w:r>
        <w:t>2-pozyczka WFOŚ i GW umowa 23.06.2004 do spłaty 157.461 zł</w:t>
      </w:r>
    </w:p>
    <w:p w:rsidR="002D2348" w:rsidRDefault="002D2348" w:rsidP="0068057D">
      <w:pPr>
        <w:pStyle w:val="Akapitzlist"/>
        <w:ind w:left="709"/>
        <w:contextualSpacing w:val="0"/>
      </w:pPr>
      <w:r>
        <w:t>3-pozyczka WFOŚ i GW umowa 18.03.2002 do spłaty 250.000 zł</w:t>
      </w:r>
    </w:p>
    <w:p w:rsidR="002D2348" w:rsidRDefault="002D2348" w:rsidP="0068057D">
      <w:pPr>
        <w:pStyle w:val="Akapitzlist"/>
        <w:ind w:left="709"/>
        <w:contextualSpacing w:val="0"/>
      </w:pPr>
      <w:r>
        <w:t>4-pożyczka WFOŚ i GW umowa 10.11.2005 do spłaty 633.500 zł</w:t>
      </w:r>
    </w:p>
    <w:p w:rsidR="002D2348" w:rsidRDefault="002D2348" w:rsidP="0068057D">
      <w:pPr>
        <w:pStyle w:val="Akapitzlist"/>
        <w:ind w:left="709"/>
        <w:contextualSpacing w:val="0"/>
      </w:pPr>
      <w:r>
        <w:t>5-pożyczka WFOŚ i GW umowa 2010 roku do spłaty  300.000 zł</w:t>
      </w:r>
    </w:p>
    <w:p w:rsidR="002D2348" w:rsidRPr="002D2348" w:rsidRDefault="002D2348" w:rsidP="0068057D">
      <w:pPr>
        <w:pStyle w:val="Akapitzlist"/>
        <w:ind w:left="709"/>
        <w:contextualSpacing w:val="0"/>
        <w:rPr>
          <w:u w:val="single"/>
        </w:rPr>
      </w:pPr>
      <w:r w:rsidRPr="002D2348">
        <w:rPr>
          <w:u w:val="single"/>
        </w:rPr>
        <w:t xml:space="preserve">                                            Razem    rok 2010            1.713.761</w:t>
      </w:r>
    </w:p>
    <w:p w:rsidR="002D2348" w:rsidRDefault="002D2348" w:rsidP="0068057D">
      <w:pPr>
        <w:pStyle w:val="Akapitzlist"/>
        <w:ind w:left="709"/>
        <w:contextualSpacing w:val="0"/>
      </w:pPr>
      <w:r>
        <w:t>6-emisja obligacji PKO BP Warszawa w roku 2011 do spłaty 5.000.000</w:t>
      </w:r>
      <w:r w:rsidR="008249A8">
        <w:t xml:space="preserve"> </w:t>
      </w:r>
    </w:p>
    <w:p w:rsidR="008249A8" w:rsidRDefault="008249A8" w:rsidP="0068057D">
      <w:pPr>
        <w:pStyle w:val="Akapitzlist"/>
        <w:ind w:left="709"/>
        <w:contextualSpacing w:val="0"/>
      </w:pPr>
      <w:r>
        <w:lastRenderedPageBreak/>
        <w:t>7-pożyczka ze spłatą jednorazową po uzyskaniu</w:t>
      </w:r>
    </w:p>
    <w:p w:rsidR="008249A8" w:rsidRDefault="008249A8" w:rsidP="0068057D">
      <w:pPr>
        <w:pStyle w:val="Akapitzlist"/>
        <w:ind w:left="709"/>
        <w:contextualSpacing w:val="0"/>
      </w:pPr>
      <w:r>
        <w:t xml:space="preserve">                                                                          środków z UE 2.000.000zł</w:t>
      </w:r>
    </w:p>
    <w:p w:rsidR="008249A8" w:rsidRPr="008249A8" w:rsidRDefault="002D2348" w:rsidP="008249A8">
      <w:pPr>
        <w:pStyle w:val="Akapitzlist"/>
        <w:ind w:left="709"/>
        <w:contextualSpacing w:val="0"/>
        <w:rPr>
          <w:u w:val="single"/>
        </w:rPr>
      </w:pP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  <w:t>Ogółem                    6.713.761 zł</w:t>
      </w:r>
    </w:p>
    <w:p w:rsidR="002D2348" w:rsidRDefault="002D2348" w:rsidP="0068057D">
      <w:pPr>
        <w:pStyle w:val="Akapitzlist"/>
        <w:ind w:left="709"/>
        <w:contextualSpacing w:val="0"/>
      </w:pPr>
      <w:r>
        <w:t>Pomniejszone o spłaty w roku 2011 w kwocie 520.460 zł</w:t>
      </w:r>
    </w:p>
    <w:p w:rsidR="008249A8" w:rsidRDefault="008249A8" w:rsidP="0068057D">
      <w:pPr>
        <w:pStyle w:val="Akapitzlist"/>
        <w:ind w:left="709"/>
        <w:contextualSpacing w:val="0"/>
      </w:pPr>
      <w:r>
        <w:t>Oraz 2.000.000 zł w roku pobrania   2.520.460 zł</w:t>
      </w:r>
    </w:p>
    <w:p w:rsidR="002D2348" w:rsidRPr="002D2348" w:rsidRDefault="002D2348" w:rsidP="0068057D">
      <w:pPr>
        <w:pStyle w:val="Akapitzlist"/>
        <w:ind w:left="709"/>
        <w:contextualSpacing w:val="0"/>
        <w:rPr>
          <w:b/>
          <w:u w:val="single"/>
        </w:rPr>
      </w:pPr>
      <w:r w:rsidRPr="002D2348">
        <w:rPr>
          <w:b/>
          <w:u w:val="single"/>
        </w:rPr>
        <w:t>Co stanowi na dzień 31.12.2011 roku kwotę:6.193.301 zł.</w:t>
      </w:r>
    </w:p>
    <w:p w:rsidR="002D2348" w:rsidRDefault="002D2348" w:rsidP="0068057D">
      <w:pPr>
        <w:pStyle w:val="Akapitzlist"/>
        <w:ind w:left="709"/>
        <w:contextualSpacing w:val="0"/>
      </w:pPr>
      <w:r>
        <w:t xml:space="preserve">Identyczny tok postępowania zastosowano przy kalkulacji poz. </w:t>
      </w:r>
      <w:r w:rsidR="008A1BF1">
        <w:t>13</w:t>
      </w:r>
    </w:p>
    <w:sectPr w:rsidR="002D2348" w:rsidSect="005C4458">
      <w:headerReference w:type="even" r:id="rId7"/>
      <w:headerReference w:type="default" r:id="rId8"/>
      <w:footerReference w:type="first" r:id="rId9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B3" w:rsidRDefault="005672B3">
      <w:r>
        <w:separator/>
      </w:r>
    </w:p>
  </w:endnote>
  <w:endnote w:type="continuationSeparator" w:id="0">
    <w:p w:rsidR="005672B3" w:rsidRDefault="0056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585"/>
      <w:docPartObj>
        <w:docPartGallery w:val="Page Numbers (Bottom of Page)"/>
        <w:docPartUnique/>
      </w:docPartObj>
    </w:sdtPr>
    <w:sdtContent>
      <w:p w:rsidR="008A1BF1" w:rsidRDefault="0060596A">
        <w:pPr>
          <w:pStyle w:val="Stopka"/>
          <w:jc w:val="right"/>
        </w:pPr>
        <w:fldSimple w:instr=" PAGE   \* MERGEFORMAT ">
          <w:r w:rsidR="0026655F">
            <w:rPr>
              <w:noProof/>
            </w:rPr>
            <w:t>1</w:t>
          </w:r>
        </w:fldSimple>
      </w:p>
    </w:sdtContent>
  </w:sdt>
  <w:p w:rsidR="008A1BF1" w:rsidRDefault="008A1B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B3" w:rsidRDefault="005672B3">
      <w:pPr>
        <w:ind w:firstLine="0"/>
      </w:pPr>
      <w:r>
        <w:separator/>
      </w:r>
    </w:p>
  </w:footnote>
  <w:footnote w:type="continuationSeparator" w:id="0">
    <w:p w:rsidR="005672B3" w:rsidRDefault="0056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60596A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26655F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60596A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26655F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30373"/>
    <w:rsid w:val="00073499"/>
    <w:rsid w:val="00090197"/>
    <w:rsid w:val="00100883"/>
    <w:rsid w:val="00111523"/>
    <w:rsid w:val="00127144"/>
    <w:rsid w:val="0013657E"/>
    <w:rsid w:val="001A334B"/>
    <w:rsid w:val="001C06D8"/>
    <w:rsid w:val="001C6B47"/>
    <w:rsid w:val="001E5636"/>
    <w:rsid w:val="001F4A4B"/>
    <w:rsid w:val="00232847"/>
    <w:rsid w:val="002566CF"/>
    <w:rsid w:val="0026655F"/>
    <w:rsid w:val="002850DC"/>
    <w:rsid w:val="00286734"/>
    <w:rsid w:val="002B1F32"/>
    <w:rsid w:val="002D2348"/>
    <w:rsid w:val="00334FC9"/>
    <w:rsid w:val="00342F6C"/>
    <w:rsid w:val="00390409"/>
    <w:rsid w:val="003918C8"/>
    <w:rsid w:val="003A2830"/>
    <w:rsid w:val="003C5EA9"/>
    <w:rsid w:val="003E6806"/>
    <w:rsid w:val="003F0346"/>
    <w:rsid w:val="004B017F"/>
    <w:rsid w:val="00542825"/>
    <w:rsid w:val="0054738D"/>
    <w:rsid w:val="00556680"/>
    <w:rsid w:val="005672B3"/>
    <w:rsid w:val="005C4458"/>
    <w:rsid w:val="005D5F0A"/>
    <w:rsid w:val="005F3BB1"/>
    <w:rsid w:val="0060596A"/>
    <w:rsid w:val="00621C09"/>
    <w:rsid w:val="00635ED1"/>
    <w:rsid w:val="00645848"/>
    <w:rsid w:val="0066361C"/>
    <w:rsid w:val="006639EE"/>
    <w:rsid w:val="00671D54"/>
    <w:rsid w:val="0068057D"/>
    <w:rsid w:val="006A5305"/>
    <w:rsid w:val="007B7BA0"/>
    <w:rsid w:val="007D68A4"/>
    <w:rsid w:val="007F0C2C"/>
    <w:rsid w:val="007F17A6"/>
    <w:rsid w:val="00821A3C"/>
    <w:rsid w:val="008249A8"/>
    <w:rsid w:val="00843D6F"/>
    <w:rsid w:val="008A1BF1"/>
    <w:rsid w:val="00921A7A"/>
    <w:rsid w:val="00941F7B"/>
    <w:rsid w:val="00991A58"/>
    <w:rsid w:val="009A280F"/>
    <w:rsid w:val="009B0109"/>
    <w:rsid w:val="00A83781"/>
    <w:rsid w:val="00AD141C"/>
    <w:rsid w:val="00AF3D14"/>
    <w:rsid w:val="00B54792"/>
    <w:rsid w:val="00BF0B2C"/>
    <w:rsid w:val="00C047C3"/>
    <w:rsid w:val="00C07451"/>
    <w:rsid w:val="00C5301D"/>
    <w:rsid w:val="00CA1218"/>
    <w:rsid w:val="00CA63E8"/>
    <w:rsid w:val="00CF2C69"/>
    <w:rsid w:val="00D340C3"/>
    <w:rsid w:val="00D63A20"/>
    <w:rsid w:val="00D90513"/>
    <w:rsid w:val="00DF2C7B"/>
    <w:rsid w:val="00DF2F72"/>
    <w:rsid w:val="00E46A16"/>
    <w:rsid w:val="00E4787E"/>
    <w:rsid w:val="00E841E2"/>
    <w:rsid w:val="00ED5DD7"/>
    <w:rsid w:val="00EE0640"/>
    <w:rsid w:val="00EE26C8"/>
    <w:rsid w:val="00F103C3"/>
    <w:rsid w:val="00F6664B"/>
    <w:rsid w:val="00F72104"/>
    <w:rsid w:val="00F74618"/>
    <w:rsid w:val="00F8724E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B7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BA0"/>
  </w:style>
  <w:style w:type="character" w:styleId="Odwoanieprzypisukocowego">
    <w:name w:val="endnote reference"/>
    <w:basedOn w:val="Domylnaczcionkaakapitu"/>
    <w:rsid w:val="007B7BA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A1BF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TromnajA</cp:lastModifiedBy>
  <cp:revision>13</cp:revision>
  <cp:lastPrinted>2010-11-12T15:13:00Z</cp:lastPrinted>
  <dcterms:created xsi:type="dcterms:W3CDTF">2010-06-30T10:42:00Z</dcterms:created>
  <dcterms:modified xsi:type="dcterms:W3CDTF">2011-05-13T07:47:00Z</dcterms:modified>
</cp:coreProperties>
</file>